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474179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474179" w:rsidRDefault="00474179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474179">
              <w:rPr>
                <w:rFonts w:ascii="Arial" w:hAnsi="Arial" w:cs="Arial"/>
                <w:b/>
                <w:caps/>
                <w:sz w:val="32"/>
                <w:szCs w:val="72"/>
              </w:rPr>
              <w:t>T01 - AUXILIAR EM SAÚDE BUCAL - 30H</w:t>
            </w:r>
          </w:p>
          <w:p w:rsidR="003B6CAA" w:rsidRPr="000F4533" w:rsidRDefault="000F4533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4533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474179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2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474179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474179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474179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474179" w:rsidRDefault="00474179" w:rsidP="00474179">
      <w:pPr>
        <w:pStyle w:val="Disciplina"/>
        <w:keepNext/>
        <w:spacing w:before="0"/>
      </w:pPr>
      <w:r>
        <w:lastRenderedPageBreak/>
        <w:t xml:space="preserve">LÍNGUA PORTUGUESA 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0F4533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nitidez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escassez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rispidez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474179" w:rsidRPr="000F4533" w:rsidRDefault="00474179" w:rsidP="00474179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474179" w:rsidRPr="000F4533" w:rsidRDefault="00474179" w:rsidP="00474179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474179" w:rsidRPr="000F4533" w:rsidRDefault="00474179" w:rsidP="00474179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474179" w:rsidRPr="000F4533" w:rsidRDefault="00474179" w:rsidP="00474179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474179" w:rsidRPr="000F4533" w:rsidRDefault="00474179" w:rsidP="00474179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0F4533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474179" w:rsidRPr="000F4533" w:rsidRDefault="00474179" w:rsidP="00474179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474179" w:rsidRPr="000F4533" w:rsidRDefault="00474179" w:rsidP="00474179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0F4533">
        <w:rPr>
          <w:rFonts w:asciiTheme="minorHAnsi" w:hAnsiTheme="minorHAnsi" w:cstheme="minorHAnsi"/>
          <w:sz w:val="20"/>
          <w:szCs w:val="20"/>
        </w:rPr>
        <w:t> que eu não viajo.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Cem metros é muito.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5248162C" wp14:editId="32878734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graúna - androide;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ideia </w:t>
      </w:r>
      <w:r w:rsidRPr="000F453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0F4533">
        <w:rPr>
          <w:rFonts w:asciiTheme="minorHAnsi" w:hAnsiTheme="minorHAnsi" w:cstheme="minorHAnsi"/>
          <w:sz w:val="20"/>
          <w:szCs w:val="20"/>
        </w:rPr>
        <w:t>heróis;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0F453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0F453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0F4533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F4533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pStyle w:val="Enunciado"/>
        <w:rPr>
          <w:rFonts w:asciiTheme="minorHAnsi" w:hAnsiTheme="minorHAnsi"/>
          <w:sz w:val="20"/>
          <w:szCs w:val="20"/>
        </w:rPr>
      </w:pPr>
    </w:p>
    <w:p w:rsidR="00474179" w:rsidRDefault="00474179" w:rsidP="00474179">
      <w:pPr>
        <w:pStyle w:val="Disciplina"/>
        <w:keepNext/>
        <w:spacing w:before="0"/>
      </w:pPr>
      <w:r w:rsidRPr="000F4533">
        <w:rPr>
          <w:sz w:val="20"/>
          <w:szCs w:val="20"/>
        </w:rPr>
        <w:br w:type="column"/>
      </w:r>
      <w:r>
        <w:lastRenderedPageBreak/>
        <w:t>CONHECIMEN</w:t>
      </w:r>
      <w:r w:rsidR="000F4533">
        <w:t>TOS DO SISTEMA ÚNICO DE SAÚDE (SUS) /</w:t>
      </w:r>
      <w:r>
        <w:t xml:space="preserve"> SAÚDE COLETIVA</w:t>
      </w: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0F4533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15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16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valorização social;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vigilância em saúde.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18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19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20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22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23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0F453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F4533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0F4533">
        <w:rPr>
          <w:rFonts w:asciiTheme="minorHAnsi" w:hAnsiTheme="minorHAnsi" w:cstheme="minorHAnsi"/>
          <w:sz w:val="20"/>
          <w:szCs w:val="20"/>
        </w:rPr>
        <w:t xml:space="preserve"> </w:t>
      </w:r>
    </w:p>
    <w:p w:rsidR="00474179" w:rsidRPr="000F4533" w:rsidRDefault="000F4533" w:rsidP="00474179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 xml:space="preserve">( </w:t>
      </w:r>
      <w:proofErr w:type="gramEnd"/>
      <w:r w:rsidR="00474179" w:rsidRPr="000F4533">
        <w:rPr>
          <w:rFonts w:asciiTheme="minorHAnsi" w:hAnsiTheme="minorHAnsi" w:cstheme="minorHAnsi"/>
          <w:sz w:val="20"/>
          <w:szCs w:val="20"/>
        </w:rPr>
        <w:t xml:space="preserve">) </w:t>
      </w:r>
      <w:r w:rsidR="00474179" w:rsidRPr="000F4533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0F453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F4533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474179" w:rsidRPr="000F4533" w:rsidRDefault="000F4533" w:rsidP="00474179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( </w:t>
      </w:r>
      <w:bookmarkStart w:id="0" w:name="_GoBack"/>
      <w:bookmarkEnd w:id="0"/>
      <w:r w:rsidR="00474179" w:rsidRPr="000F4533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0F4533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F4533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F4533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0F4533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0F453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F4533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0F4533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0F453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F4533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0F4533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0F453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0F4533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F4533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0F4533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0F4533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24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evento sentinela;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vigilância ambiental;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952EC0" w:rsidRDefault="00474179" w:rsidP="00474179">
      <w:pPr>
        <w:pStyle w:val="Enunciado"/>
        <w:rPr>
          <w:rFonts w:asciiTheme="minorHAnsi" w:hAnsiTheme="minorHAnsi"/>
          <w:sz w:val="20"/>
          <w:szCs w:val="20"/>
        </w:rPr>
      </w:pPr>
    </w:p>
    <w:p w:rsidR="00474179" w:rsidRDefault="00474179" w:rsidP="00474179">
      <w:pPr>
        <w:pStyle w:val="Disciplina"/>
        <w:keepNext/>
        <w:spacing w:before="0"/>
      </w:pPr>
      <w:r>
        <w:br w:type="column"/>
      </w:r>
      <w:r w:rsidR="000F4533">
        <w:lastRenderedPageBreak/>
        <w:t>CONHECIMENTOS ESPECÍFICOS</w:t>
      </w: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Os cimentos são utilizados para cimentação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a longo prazo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ou temporariamente. Marque a alternativa que representa a indicação correta para o respectivo material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cimentante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cimentos temporários são aqueles indicados para restaurações de facetas laminadas;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cimentos permanentes são indicados para cimentação de peças em resina acrílica;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cimentos ionômero de vidro são indicados para restaurações definitivas;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cimentos resinosos são indicados para cimentação de facetas de cerâmica;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o cimento fosfato de zinco é indicado para cimentação de peças provisórias.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/>
          <w:sz w:val="20"/>
          <w:szCs w:val="20"/>
        </w:rPr>
        <w:t xml:space="preserve">Saber identificar e reconhecer os aspectos de um </w:t>
      </w:r>
      <w:proofErr w:type="spellStart"/>
      <w:r w:rsidRPr="000F4533">
        <w:rPr>
          <w:rFonts w:asciiTheme="minorHAnsi" w:hAnsiTheme="minorHAnsi"/>
          <w:sz w:val="20"/>
          <w:szCs w:val="20"/>
        </w:rPr>
        <w:t>periodonto</w:t>
      </w:r>
      <w:proofErr w:type="spellEnd"/>
      <w:r w:rsidRPr="000F4533">
        <w:rPr>
          <w:rFonts w:asciiTheme="minorHAnsi" w:hAnsiTheme="minorHAnsi"/>
          <w:sz w:val="20"/>
          <w:szCs w:val="20"/>
        </w:rPr>
        <w:t xml:space="preserve"> saudável é fundamental para identificar e reconhecer quando o </w:t>
      </w:r>
      <w:proofErr w:type="spellStart"/>
      <w:r w:rsidRPr="000F4533">
        <w:rPr>
          <w:rFonts w:asciiTheme="minorHAnsi" w:hAnsiTheme="minorHAnsi"/>
          <w:sz w:val="20"/>
          <w:szCs w:val="20"/>
        </w:rPr>
        <w:t>periodonto</w:t>
      </w:r>
      <w:proofErr w:type="spellEnd"/>
      <w:r w:rsidRPr="000F4533">
        <w:rPr>
          <w:rFonts w:asciiTheme="minorHAnsi" w:hAnsiTheme="minorHAnsi"/>
          <w:sz w:val="20"/>
          <w:szCs w:val="20"/>
        </w:rPr>
        <w:t xml:space="preserve"> não está saudável. A respeito da afirmativa, marque a opção correta: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/>
          <w:sz w:val="20"/>
          <w:szCs w:val="20"/>
        </w:rPr>
        <w:t>um dos sinais da doença periodontal é a formação de pontilhado na gengiva inserida, assemelhando-se a casca de laranja;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o líquido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crevicular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, produzido na gengival inserida, favorece desenvolvimento de placa bacteriana;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gengivite é uma doença sem cura, mas possível de ser controlada;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/>
          <w:sz w:val="20"/>
          <w:szCs w:val="20"/>
        </w:rPr>
        <w:t xml:space="preserve">alterações de coloração do </w:t>
      </w:r>
      <w:proofErr w:type="spellStart"/>
      <w:r w:rsidRPr="000F4533">
        <w:rPr>
          <w:rFonts w:asciiTheme="minorHAnsi" w:hAnsiTheme="minorHAnsi"/>
          <w:sz w:val="20"/>
          <w:szCs w:val="20"/>
        </w:rPr>
        <w:t>periodonto</w:t>
      </w:r>
      <w:proofErr w:type="spellEnd"/>
      <w:r w:rsidRPr="000F4533">
        <w:rPr>
          <w:rFonts w:asciiTheme="minorHAnsi" w:hAnsiTheme="minorHAnsi"/>
          <w:sz w:val="20"/>
          <w:szCs w:val="20"/>
        </w:rPr>
        <w:t xml:space="preserve"> de proteção pode indicar doença periodontal;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/>
          <w:sz w:val="20"/>
          <w:szCs w:val="20"/>
        </w:rPr>
        <w:t xml:space="preserve">pacientes com gengivite apresentam alterações no </w:t>
      </w:r>
      <w:proofErr w:type="spellStart"/>
      <w:r w:rsidRPr="000F4533">
        <w:rPr>
          <w:rFonts w:asciiTheme="minorHAnsi" w:hAnsiTheme="minorHAnsi"/>
          <w:sz w:val="20"/>
          <w:szCs w:val="20"/>
        </w:rPr>
        <w:t>periodonto</w:t>
      </w:r>
      <w:proofErr w:type="spellEnd"/>
      <w:r w:rsidRPr="000F4533">
        <w:rPr>
          <w:rFonts w:asciiTheme="minorHAnsi" w:hAnsiTheme="minorHAnsi"/>
          <w:sz w:val="20"/>
          <w:szCs w:val="20"/>
        </w:rPr>
        <w:t xml:space="preserve"> de proteção, como sangramento e edema.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28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ergonomia na odontologia tem como objetivo: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aumentar o lucro das atividades, reduzindo os gastos com materiais;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adaptar e condicionar os funcionários às condições de trabalho existentes;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proporcionar maior conforto no trabalho, prevenir estresse e a fadiga visual e prevenir sintomas e danos musculares;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controlar a infecção cruzada, reduzindo os riscos a que os pacientes estão sujeitos no ambiente odontológico;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melhorar a experiência do paciente durante o atendimento odontológico. 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29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escala de Coma de Glasgow é uma ferramenta que possibilita avaliar o estado de consciência de pessoas que necessitam de atendimento de urgência. A respeito da escala, marque a alternativa correta: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nova atualização da escala inclui a avaliação das reatividades pupilar;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o valor da reposta pupilar é somado com o resultado das avaliações dos outros sentidos;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durante a avaliação da resposta motora, a pontuação é dada pela capacidade da vítima estar falando ou não;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escala é utilizada no ambiente hospitalar, já que pessoas leigas não saberão distinguir as diferentes repostas;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se a vítima, durante a avaliação, receber a nota máxima, é necessário atendimento médico de urgência.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Os exames radiográficos são exames complementares que auxiliam nos diagnósticos de condições bucais. De acordo com as medidas de biossegurança e o processamento do filme radiográfico, marque a opção correta: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as tomadas radiográficas que o Auxiliar em Saúde Bucal pode realizar se limitam à área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extraoral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as medidas de proteção para o operador, durante o processamento do filme radiográfico, incluem barreiras como avental de chumbo e protetor de tireoide;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processamento das radiografias digitais é realizado da mesma forma que as radiografias convencionais;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no momento do processamento, é importante que o operador leve em consideração a temperatura e a qualidade dos materiais para o processamento; 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luz indicada para o processamento na câmara escura é a luz azul.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31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Para a moldagem, os materiais disponíveis se diferem em função da precisão necessária para confecção de peças. Dessa forma, para impressão mais precisa, é (são) indicado(s):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cera 7;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hidrocoloides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reversíveis, como a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godiva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hidrocoloides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irreversíveis, como o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alginato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elastômeros, como os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poliéter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e silicones;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cera utilidade.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32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Mesmo que essa situação não ocorra sempre, o Auxiliar de Saúde Bucal deve saber executar técnicas de reanimação. Essas medidas têm como objetivo: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manter o paciente consciente até a chegada do atendimento;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compressão pulmonar para forçar a troca de oxigênio por gás carbônico;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avaliar possíveis sequelas resultantes da perda de consciência;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manter estável o quadro do paciente, sem tocá-lo, até a chegada da equipe de atendimento de emergência;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manter as vias aeres desobstruídas e a circulação sanguínea de forma artificial, pela execução de compressões torácicas.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Os primeiros socorros são os primeiros cuidados prestados a uma pessoa fora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do ambiente hospitalar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>. Nesse primeiro momento: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é importante garantir a segurança do atendimento e avaliar os sinais vitais da vítima;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independente do estado da vítima, as pessoas devem chamar o atendimento especializado e aguardar, sem tocá-la;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constatado a parada cardíaca, o paciente deve ser levado rapidamente ao atendimento hospitalar;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deve-se buscar por profissionais da saúde que estejam por perto, já que leigos podem atrapalhar no atendimento;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busca-se por antecedentes de saúde do paciente e, só depois, faz-se o atendimento de emergência.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34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Para o exame clínico dos pacientes, os instrumentais utilizados são: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diferem para cada especialidade odontológica, mas sendo sempre obrigatório a utilização de pinça clínica;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motor de alta rotação, peça reta e micromotor;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colgadura, sonda exploradora e espelho clínico;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sonda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milimetrada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>, espelho clínico e colher de dentina;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em geral, espelho clínico, sonda exploradora e pinça clínica, podendo ser acrescentados outros instrumentais de acordo com a necessidade do clínico.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35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Marque a alternativa abaixo que representa um caso de infecção cruzada: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aerossol formado durante atendimento que entrou em contato com os olhos do clínico;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paciente atendido com material contaminado com o vírus da hepatite B;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clínico com diagnóstico de COVID – 19, realizando atendimentos normalmente;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fluido corporal de paciente em contato com ferida no braço do operador;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intoxicação por uso excessivo de hipoclorito de sódio.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De acordo com as etapas de processamento, marque a opção correta: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pacotes violados, após a esterilização, podem ainda ser utilizados, desde que tenham prazos de validade da esterilização reduzidos;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limpeza dos instrumentais deve ser realizada na mesa clínica, antes do transporte;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transporte dos materiais contaminados é a primeira etapa e deve ser feito de forma a minimizar riscos de infecção;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após a lavagem dos materiais, segue-se a etapa de empacotamento;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armazenamento dos instrumentais pode ser feito antes do processo de esterilização.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37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Considerando os diferentes períodos da dentição humana, marque a opção correta: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entre a dentição mista e a dentição permanente, a única diferença importante é o tamanho dos dentes;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espera-se que uma criança de 10 anos tenha todos os dentes permanentes em boca;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primeira dentição é chamada de mista;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os 20 dentes decíduos possuem 20 dentes sucessores;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os dentes permanentes são mais brancos que os dentes decíduos.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38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 trabalho desenvolvido pelo Auxiliar de Saúde Bucal é regulado pelo Conselho Federal de Odontologia, que dispõem sobre os direitos e deveres, como: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não se recursar a exercer a profissão em âmbito público ou privado;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executar atribuições do cirurgião-dentista, como profilaxia, desde que esteja sobre supervisão;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propor e executar tratamentos fora do âmbito da odontologia;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fazer referência a casos clínicos identificados em redes sociais;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guardar e manter sigilo a respeito das informações adquiridas durante o desempenho das funções como auxiliar. 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Na prática de biossegurança, os métodos de controle de microrganismo diferem em função dos diferentes graus de resistência microbiana. Dessa forma, a esterilização é indicada para: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prevenir a proliferação bacteriana em artigos críticos;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vírus de tamanho médio, como o vírus da imunodeficiência humana;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controle de todas as formas microbiana, não incluindo esporos bacterianos;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eliminação de contaminantes em materiais descartáveis;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eliminação de todas as formas microbianas, incluindo os esporos.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40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 cimento de óxido de zinco e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eugenol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0F4533">
        <w:rPr>
          <w:rFonts w:asciiTheme="minorHAnsi" w:hAnsiTheme="minorHAnsi" w:cstheme="minorHAnsi"/>
          <w:sz w:val="20"/>
          <w:szCs w:val="20"/>
        </w:rPr>
        <w:t>pode ser indicado</w:t>
      </w:r>
      <w:proofErr w:type="gramEnd"/>
      <w:r w:rsidRPr="000F4533">
        <w:rPr>
          <w:rFonts w:asciiTheme="minorHAnsi" w:hAnsiTheme="minorHAnsi" w:cstheme="minorHAnsi"/>
          <w:sz w:val="20"/>
          <w:szCs w:val="20"/>
        </w:rPr>
        <w:t xml:space="preserve"> para utilização como base isolante e sedativa, já que o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eugenol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tem efeito analgésico. Dessa forma, para sua manipulação, deve-se: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espatular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vigorosamente até que o material fique com aparência brilhante;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utilizar placa resfriada já que a reação da mistura libera grande quantidade de calor; 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em função da constituição de partículas de vidro, aglutinar a mistura de pó e líquido;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espatular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a mistura, até que fique consistente como massa de vidraceiro, podendo assim, enrolar pequenas esferas;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aglutinar a mistura até que fique com consistência firme, podendo ser esticado até 2 cm sem se quebrar.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41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lesão cariosa pode levar meses ou até anos para se desenvolver. Seu desenvolvimento pode estar associado: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ao cálcio e o flúor presente na saliva;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à intoxicação crônica do flúor;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dietas ricas em carboidratos fermentáveis;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i/>
          <w:iCs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à proliferação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fúngica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, por organismos conhecidos como </w:t>
      </w:r>
      <w:proofErr w:type="spellStart"/>
      <w:r w:rsidRPr="000F4533">
        <w:rPr>
          <w:rFonts w:asciiTheme="minorHAnsi" w:hAnsiTheme="minorHAnsi" w:cstheme="minorHAnsi"/>
          <w:i/>
          <w:iCs/>
          <w:sz w:val="20"/>
          <w:szCs w:val="20"/>
        </w:rPr>
        <w:t>Candida</w:t>
      </w:r>
      <w:proofErr w:type="spellEnd"/>
      <w:r w:rsidRPr="000F4533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Pr="000F4533">
        <w:rPr>
          <w:rFonts w:asciiTheme="minorHAnsi" w:hAnsiTheme="minorHAnsi" w:cstheme="minorHAnsi"/>
          <w:i/>
          <w:iCs/>
          <w:sz w:val="20"/>
          <w:szCs w:val="20"/>
        </w:rPr>
        <w:t>albicans</w:t>
      </w:r>
      <w:proofErr w:type="spellEnd"/>
      <w:r w:rsidRPr="000F4533">
        <w:rPr>
          <w:rFonts w:asciiTheme="minorHAnsi" w:hAnsiTheme="minorHAnsi" w:cstheme="minorHAnsi"/>
          <w:iCs/>
          <w:sz w:val="20"/>
          <w:szCs w:val="20"/>
        </w:rPr>
        <w:t>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à fragilidade estrutural do esmalte.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respeito do uso do flúor, é correto afirmar que: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flúor é um mineral que não apresenta risco de intoxicação;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uso contínuo sistêmico e tópico do flúor garante a máximas prevenção contra a cárie;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quantidade e a frequência do uso do flúor devem ser as mesmas ao longo da vida;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única fonte de flúor que previne contra a lesão cariosa é a disponível na pasta de dente;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o flúor não possui efeito tópico sobre a estrutura do esmalte.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43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presença de doença periodontal crônica inflamatória pode estar associada a alterações sistêmicas, como: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aumento do risco de desenvolvimento de lesão cariosa;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redução das chances de desenvolvimento de diabetes tipo 2;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desenvolvimento de carcinoma de células escamosas;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doenças coronarianas ou derrame;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redução da pressão arterial.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alginato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é um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hidrocoloide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irreversível caracterizado por: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voltar ao estado líquido caso seja aquecido;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alterações do estado físico, em função das reações químicas, que não permite voltar ao estado que era antes;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mudanças de temperatura pela liberação de calor provocado pelas reações químicas;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apresentar-se, na sua primeira fase, em estado sólido na segunda fase em estado líquido;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possuir um tempo de trabalho longo em função do tempo de presa.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45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0F4533">
        <w:rPr>
          <w:rFonts w:asciiTheme="minorHAnsi" w:hAnsiTheme="minorHAnsi"/>
          <w:sz w:val="20"/>
          <w:szCs w:val="20"/>
        </w:rPr>
        <w:t xml:space="preserve">A lavagem de mãos é um dos procedimentos realizados pelo profissional da saúde que tem grande impacto na redução e controle de proliferação de microrganismos. A respeito do procedimento, marque a alternativa correta: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exame clínico é procedimento simples e por isso a lavagem das mãos não é obrigatória;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lavagem das mãos deve ser precedida da retirada de relógios, pulseiras e anéis;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/>
          <w:sz w:val="20"/>
          <w:szCs w:val="20"/>
        </w:rPr>
        <w:t>o procedimento deve ser feito, exclusivamente, após o atendimento clínico para reduzir a infecção cruzada;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/>
          <w:sz w:val="20"/>
          <w:szCs w:val="20"/>
        </w:rPr>
        <w:t>o uso de luvas de procedimento dispensa a necessidade de higienizar as mãos entre os atendimentos;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/>
          <w:sz w:val="20"/>
          <w:szCs w:val="20"/>
        </w:rPr>
        <w:t>para a assepsia das mãos, a utilização do álcool em gel 70% dispensa a lavagem com água e sabão.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46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O trabalho em equipe é umas das práticas ergonômicas que podem promover ganhos qualitativos e quantitativos. Dentro da equipe, o Auxiliar de Saúde Bucal pode, durante e entre os atendimentos clínicos: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a lavagem de instrumental e reposição de estoque;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a limpeza do chão, caso surja necessidade;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organizar o prontuário e selecionar fichas dos próximos pacientes;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executar ações prévias, simultâneas e complementares no ambiente de atendimento odontológico;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preencher fichas e prontuários.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O controle e/ou remoção de placa dental deve seguir um protocolo diário. De acordo com as formas de prevenção à formação de placa dental, marque a opção correta: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escolha da escova de dente não influencia na qualidade da escovação;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método de escovação para adultos mais indicado é o fones;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os dentes podem sofrer erosão com escovação vigorosa;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fio dental é utilizado para remoção de partículas maiores, não tendo efeito sobre a placa dental;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 uso de métodos de higiene bucal associados ajuda no controle mais eficiente da placa dentária.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lastRenderedPageBreak/>
        <w:t>Questão 48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caracterização dos diferentes tipos de microrganismos permite o conhecimento por parte da equipe de saúde bucal a respeito dos seus riscos. Dessa forma, marque a opção correta: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todo microrganismo é obrigatoriamente aeróbio;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os esporos bacterianos representam a forma mais simples de vida dos microrganismos;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as bactérias podem ser separadas em dois grupos: gram-positiva e gram-negativa.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os vírus são organismos unicelulares maiores que as células bacterianas;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fungos são organismos de estruturas simples e unicelulares.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49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>Marque a opção que corresponde a uma das atribuições do Auxiliar de Saúde Bucal na parceria com o paciente para prevenção de doenças bucais: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motivar o paciente a mudar seu comportamento, orientando no uso de flúor e no consumo de nutrição adequada;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realizar profilaxia dentária com uso de ultrassom e/ou cureta;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ajudar o paciente somente em caso de dor;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prescrever medicação analgésica em caso de urgência odontológica;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aplicar solução reveladora para evidenciar biofilme dentário.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474179" w:rsidRPr="000F4533" w:rsidRDefault="00474179" w:rsidP="00474179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F4533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474179" w:rsidRPr="000F4533" w:rsidRDefault="00474179" w:rsidP="00474179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</w:rPr>
        <w:t xml:space="preserve">A contaminação de equipamentos e superfícies pode ser prevenida com: </w:t>
      </w:r>
    </w:p>
    <w:p w:rsidR="00474179" w:rsidRPr="000F4533" w:rsidRDefault="00474179" w:rsidP="00474179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esterilização de equipamentos semicríticos;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utilização de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enxaguantes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bucais com </w:t>
      </w:r>
      <w:proofErr w:type="spellStart"/>
      <w:r w:rsidRPr="000F4533">
        <w:rPr>
          <w:rFonts w:asciiTheme="minorHAnsi" w:hAnsiTheme="minorHAnsi" w:cstheme="minorHAnsi"/>
          <w:sz w:val="20"/>
          <w:szCs w:val="20"/>
        </w:rPr>
        <w:t>clorexidina</w:t>
      </w:r>
      <w:proofErr w:type="spellEnd"/>
      <w:r w:rsidRPr="000F4533">
        <w:rPr>
          <w:rFonts w:asciiTheme="minorHAnsi" w:hAnsiTheme="minorHAnsi" w:cstheme="minorHAnsi"/>
          <w:sz w:val="20"/>
          <w:szCs w:val="20"/>
        </w:rPr>
        <w:t xml:space="preserve"> pelos pacientes;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>a utilização de barreiras de superfícies;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a execução de limpezas prévias de superfícies; </w:t>
      </w:r>
    </w:p>
    <w:p w:rsidR="00474179" w:rsidRPr="000F4533" w:rsidRDefault="00474179" w:rsidP="00474179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F4533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F4533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F4533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F4533">
        <w:rPr>
          <w:rFonts w:asciiTheme="minorHAnsi" w:hAnsiTheme="minorHAnsi" w:cstheme="minorHAnsi"/>
          <w:sz w:val="20"/>
          <w:szCs w:val="20"/>
        </w:rPr>
        <w:t xml:space="preserve">utilização de equipamentos de proteção individual pelos pacientes. </w:t>
      </w:r>
    </w:p>
    <w:p w:rsidR="00474179" w:rsidRPr="000F4533" w:rsidRDefault="00474179" w:rsidP="00474179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474179" w:rsidRPr="000F4533" w:rsidSect="0047417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DF" w:rsidRDefault="00D217DF" w:rsidP="00F24D13">
      <w:pPr>
        <w:spacing w:before="0" w:after="0"/>
      </w:pPr>
      <w:r>
        <w:separator/>
      </w:r>
    </w:p>
  </w:endnote>
  <w:endnote w:type="continuationSeparator" w:id="0">
    <w:p w:rsidR="00D217DF" w:rsidRDefault="00D217DF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79" w:rsidRDefault="0047417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79" w:rsidRDefault="00474179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217DF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474179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AUXILIAR EM SAÚDE BUCAL - 30H</w:t>
          </w:r>
        </w:p>
      </w:tc>
      <w:tc>
        <w:tcPr>
          <w:tcW w:w="209" w:type="pct"/>
        </w:tcPr>
        <w:p w:rsidR="00B20B48" w:rsidRPr="00B20B48" w:rsidRDefault="00D217DF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474179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2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0F4533">
            <w:rPr>
              <w:noProof/>
              <w:sz w:val="16"/>
            </w:rPr>
            <w:t>10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D217DF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217D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DF" w:rsidRDefault="00D217DF" w:rsidP="00F24D13">
      <w:pPr>
        <w:spacing w:before="0" w:after="0"/>
      </w:pPr>
      <w:r>
        <w:separator/>
      </w:r>
    </w:p>
  </w:footnote>
  <w:footnote w:type="continuationSeparator" w:id="0">
    <w:p w:rsidR="00D217DF" w:rsidRDefault="00D217DF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79" w:rsidRDefault="00474179">
    <w:pPr>
      <w:pStyle w:val="Cabealho"/>
    </w:pPr>
  </w:p>
  <w:p w:rsidR="00474179" w:rsidRDefault="00474179">
    <w:pPr>
      <w:pStyle w:val="Cabealho"/>
    </w:pPr>
  </w:p>
  <w:p w:rsidR="00474179" w:rsidRDefault="00474179">
    <w:pPr>
      <w:pStyle w:val="Cabealho"/>
    </w:pPr>
  </w:p>
  <w:p w:rsidR="00474179" w:rsidRDefault="00474179">
    <w:pPr>
      <w:pStyle w:val="Cabealho"/>
    </w:pPr>
  </w:p>
  <w:p w:rsidR="00474179" w:rsidRDefault="0047417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79" w:rsidRDefault="0047417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79" w:rsidRDefault="00474179">
    <w:pPr>
      <w:pStyle w:val="Cabealho"/>
    </w:pPr>
  </w:p>
  <w:p w:rsidR="00474179" w:rsidRDefault="00474179">
    <w:pPr>
      <w:pStyle w:val="Cabealho"/>
    </w:pPr>
  </w:p>
  <w:p w:rsidR="00474179" w:rsidRDefault="00474179">
    <w:pPr>
      <w:pStyle w:val="Cabealho"/>
    </w:pPr>
  </w:p>
  <w:p w:rsidR="00474179" w:rsidRDefault="00474179">
    <w:pPr>
      <w:pStyle w:val="Cabealho"/>
    </w:pPr>
  </w:p>
  <w:p w:rsidR="00474179" w:rsidRDefault="00474179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179" w:rsidRDefault="00474179">
    <w:pPr>
      <w:pStyle w:val="Cabealho"/>
      <w:rPr>
        <w:sz w:val="16"/>
      </w:rPr>
    </w:pPr>
  </w:p>
  <w:p w:rsidR="00474179" w:rsidRDefault="00474179">
    <w:pPr>
      <w:pStyle w:val="Cabealho"/>
      <w:rPr>
        <w:sz w:val="16"/>
      </w:rPr>
    </w:pPr>
  </w:p>
  <w:p w:rsidR="00474179" w:rsidRDefault="00474179">
    <w:pPr>
      <w:pStyle w:val="Cabealho"/>
      <w:rPr>
        <w:sz w:val="16"/>
      </w:rPr>
    </w:pPr>
  </w:p>
  <w:p w:rsidR="00474179" w:rsidRDefault="00474179">
    <w:pPr>
      <w:pStyle w:val="Cabealho"/>
      <w:rPr>
        <w:sz w:val="16"/>
      </w:rPr>
    </w:pPr>
  </w:p>
  <w:p w:rsidR="00474179" w:rsidRDefault="00474179">
    <w:pPr>
      <w:pStyle w:val="Cabealho"/>
      <w:rPr>
        <w:sz w:val="16"/>
      </w:rPr>
    </w:pPr>
  </w:p>
  <w:p w:rsidR="00474179" w:rsidRDefault="00474179">
    <w:pPr>
      <w:pStyle w:val="Cabealho"/>
      <w:rPr>
        <w:sz w:val="16"/>
      </w:rPr>
    </w:pPr>
  </w:p>
  <w:p w:rsidR="00474179" w:rsidRDefault="00474179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217DF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474179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D217DF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D217D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19.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533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4003C9"/>
    <w:rsid w:val="00401DCF"/>
    <w:rsid w:val="004056F3"/>
    <w:rsid w:val="00415CF5"/>
    <w:rsid w:val="0041620C"/>
    <w:rsid w:val="00421B4A"/>
    <w:rsid w:val="00423B41"/>
    <w:rsid w:val="004278DA"/>
    <w:rsid w:val="0043467E"/>
    <w:rsid w:val="00434B44"/>
    <w:rsid w:val="004475E3"/>
    <w:rsid w:val="0045765F"/>
    <w:rsid w:val="004577C9"/>
    <w:rsid w:val="00465761"/>
    <w:rsid w:val="00466DB5"/>
    <w:rsid w:val="00472864"/>
    <w:rsid w:val="00474179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AAC"/>
    <w:rsid w:val="00D11C80"/>
    <w:rsid w:val="00D17AC2"/>
    <w:rsid w:val="00D217DF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CD049-E460-4B30-BC30-49080E93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4950</Words>
  <Characters>26735</Characters>
  <Application>Microsoft Office Word</Application>
  <DocSecurity>0</DocSecurity>
  <Lines>222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3</cp:revision>
  <cp:lastPrinted>2023-07-20T12:24:00Z</cp:lastPrinted>
  <dcterms:created xsi:type="dcterms:W3CDTF">2024-03-06T04:37:00Z</dcterms:created>
  <dcterms:modified xsi:type="dcterms:W3CDTF">2024-03-06T04:42:00Z</dcterms:modified>
</cp:coreProperties>
</file>